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การขออนุญาตดัดแปลงอาคาร ตามมาตรา 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ผูใดจะดัดแปลงอาคารตองไดรับใบอนุญาตจากเจาพนักงานทองถิ่น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45วัน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2คราว คราวละไม่เกิน 45วัน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ยื่นความประสงค์ดัดแปลงอาคาร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ในพื้นที่ที่จะดำเนินการขออนุญาตดัดแปลงอาคาร)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ในพื้นที่ที่จะดำเนินการขออนุญาตดัดแปลงอาคาร)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ในพื้นที่ที่จะดำเนินการขออนุญาตดัดแปลงอาคาร)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  (อ.1) และแจ้งให้ผู้ขอมารับใบอนุญาตดัดแปลงอาคาร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ในพื้นที่ที่จะดำเนินการขออนุญาตดัดแปลงอาคาร)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แบบคำขออนุญาตก่อสร้างอาคาร  (แบบ ข. 1)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ใบอนุญาตก่อสร้างอาคารเดิมที่ได้รับอนุญาต 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                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(กรณีอาคารสาธารณะ อาคารพิเศษ 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2550 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กรณีใช้หน่วยแรงเกินกว่าค่าที่กำหนดในกฎกระทรวงฉบับที่ 6 พ.ศ. 2527 เช่นใช้ค่า fc &gt; 65 ksc. หรือ ค่า fc’ &gt; 173.3 ksc. 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(กรณีอาคารที่ต้องมีสถาปนิกควบคุมงาน)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แบบแปลนและรายการคำนวณงานระบบของอาคาร ตามกฎกระทรวง  ฉบับที่ 33 (พ.ศ.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การขออนุญาตดัดแปลงอาคาร ตามมาตรา 21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16:28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