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การขออนุญาตรื้อถอนอาคาร ตามมาตรา 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ผูใดจะรื้อถอนอาคารที่มีส่วนสูงเกิน 15เมตร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45วัน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2คราว คราวละไม่เกิน 45วัน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และแจ้งให้ผู้ขอมารับใบอนุญาตรื้อถอนอาคาร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ในพื้นที่ที่จะขออนุญาตรื้อถอนอาคาร)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แบบคำขออนุญาตรื้อถอนอาคาร  (แบบ ข. 1)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(กรณีที่เป็นอาคารมีลักษณะ ขนาด 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(กรณีเจ้าของอาคารเป็นนิติบุคคล)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(เอกสารในส่วนของผู้ขออนุญาต)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(เอกสารในส่วนของผู้ออกแบบและควบคุมงาน)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การขออนุญาตรื้อถอนอาคาร ตามมาตรา 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16:00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