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การแจ้งก่อสร้างอาคารตามมาตรา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39ทวิ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โทรศัพท์ :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การแจ้งก่อสร้างอาคารตามมาตรา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16:06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