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การขอใบอนุญาตประกอบกิจการรับทำการกำจัดสิ่งปฏิกูล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1. หลักเกณฑ์ วิธีการ</w:t>
        <w:br/>
        <w:t xml:space="preserve"/>
        <w:br/>
        <w:t xml:space="preserve"> ผู้ใดประสงค์ขอใบอนุญาตประกอบกิจการรับทำการกำจัดสิ่งปฏิกูล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(1) ผู้ประกอบการต้องยื่นเอกสารที่ถูกต้องและครบถ้วน</w:t>
        <w:br/>
        <w:t xml:space="preserve"/>
        <w:br/>
        <w:t xml:space="preserve"> (2) 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(ตามข้อกำหนดของท้องถิ่น)</w:t>
        <w:br/>
        <w:t xml:space="preserve"/>
        <w:br/>
        <w:t xml:space="preserve">  (3)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ผู้ขอรับใบอนุญาตยื่นคำขอรับใบอนุญาตประกอบกิจการรับทำการกำจัดสิ่งปฏิกูล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หากผู้ขออนุญาตไม่แก้ไขคำขอหรือไม่ส่งเอกสารเพิ่มเติมให้ครบถ้วน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แจ้งคำสั่งไม่ออกใบอนุญาตประกอบกิจการรับทำการกำจัดสิ่งปฏิกูลแก่ผู้ขออนุญาตทราบ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   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(ตามหลักเกณฑ์ที่ท้องถิ่นกำหนด)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อัตราค่าธรรมเนียมใบอนุญาตรับทำการกำจัดสิ่งปฏิกูล ฉบับละไม่เกิน 5,000 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((ระบุตามข้อกำหนดของท้องถิ่น))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การขอใบอนุญาตประกอบกิจการรับทำการกำจัดสิ่งปฏิกูล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13/08/2015 10:49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