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 และขนมูลฝอยทั่วไป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และขนมูลฝอยทั่วไป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ด้านสุขลักษณะวิธีการเก็บขนมูลฝอยทั่วไปต้องถูกต้องตามหลักเกณฑ์ และมีวิธีการควบคุมกำกับการขนส่งเพื่อป้องกันการลักลอบทิ้งมูลฝอยถูกต้องตามหลักเกณฑ์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ระยะเวลาระบุตามวันเวลาที่ท้องถิ่นเหิดให้บริการ)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ผู้ขอรับใบอนุญาตยื่นคำขอต่ออายุใบอนุญาตประกอบกิจการรับทำการเก็บ และขนมูลฝอยทั่วไป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ส่วนงาน/หน่วยงานงานที่รับผิดชอบ ให้ระบุไปตามบริบทของท้องถิ่น)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และขนมูลฝอยทั่วไปแก่ผู้ขอต่ออายุใบอนุญาตทราบ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ระยะเวลาการให้บริการ ส่วนงาน/หน่วยงานที่รับผิดชอบ 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มูลฝอยทั่วไป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     มูลฝอยทั่วไป (ตามหลักเกณฑ์ที่ท้องถิ่นกำหนด)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อัตราค่าธรรมเนียมต่ออายุใบอนุญาตรับทำการเก็บ และขนมูลฝอยทั่วไป ฉบับละไม่เกิน 5,000 บาทต่อปี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(ระบุตามข้อกำหนดของท้องถิ่น))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 และขนมูลฝอยทั่วไป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11:06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