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การขอใบอนุญาตประกอบกิจการรับทำการเก็บ 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1.หลักเกณฑ์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 องค์กรปกครองส่วนท้องถิ่นสามารถเปลี่ยนแปลงข้อมูลได้ตามหน้าที่รับผิดชอบ</w:t>
              <w:br/>
              <w:t xml:space="preserve">-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แจ้งคำสั่งไม่ออกใบอนุญาตประกอบกิจการรับทำการเก็บ และขนมูลฝอยทั่วไปแก่ผู้ขออนุญาตทราบ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อัตราค่าธรรมเนียมใบอนุญาตรับทำการเก็บ และขนมูลฝอยทั่วไป ฉบับละไม่เกิน 5,000 บาทต่อปี</w:t>
              <w:br/>
              <w:t xml:space="preserve">(ระบุตามข้อกำหนดของท้องถิ่น)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(อัตราค่าธรรมเนียมระบุตามข้อกำหนดของท้องถิ่น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ให้เป็นไปตามข้อกำหนดของถิ่น)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การแ้จงผลการพิจารณา</w:t>
        <w:br/>
        <w:t xml:space="preserve"/>
        <w:br/>
        <w:t xml:space="preserve">19.1ในกรณีที่เจ้าพนักงานท้องถิ่น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 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การขอใบอนุญาตประกอบกิจการรับทำการเก็บ และขนมูลฝอยทั่วไป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23/09/2015 15:30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